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33587" w14:textId="77777777" w:rsidR="009019B4" w:rsidRDefault="00000000">
      <w:pPr>
        <w:pStyle w:val="Nagwek1"/>
        <w:rPr>
          <w:b/>
          <w:bCs/>
        </w:rPr>
      </w:pPr>
      <w:r>
        <w:rPr>
          <w:b/>
          <w:bCs/>
        </w:rPr>
        <w:t>Jedna na cztery młode osoby dorosłe ma już dwie choroby przewlekłe. Alarmujące dane projektu VIP 2030</w:t>
      </w:r>
    </w:p>
    <w:p w14:paraId="58792600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Ponad 2500 Polaków przeszło już kompleksowe badania w ramach projektu VIP 2030. Pierwsze wyniki szokują: wielochorobowość dotyka nawet dwudziestolatków, a w niektórych regionach problem może być większy niż w statystykach ogólnopolskich. Czy Twoja gmina jest już objęta badaniem?</w:t>
      </w:r>
    </w:p>
    <w:p w14:paraId="3AB3C36A" w14:textId="77777777" w:rsidR="009019B4" w:rsidRDefault="00000000">
      <w:pPr>
        <w:pStyle w:val="Nagwek3"/>
        <w:jc w:val="both"/>
        <w:rPr>
          <w:b/>
          <w:bCs/>
        </w:rPr>
      </w:pPr>
      <w:r>
        <w:rPr>
          <w:b/>
          <w:bCs/>
        </w:rPr>
        <w:t>Młodzi Polacy chorują jak seniorzy – dane z ponad 2500 wywiadów nie pozostawiają złudzeń</w:t>
      </w:r>
    </w:p>
    <w:p w14:paraId="1D5C8530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 przeprowadzonych już</w:t>
      </w:r>
      <w:r>
        <w:rPr>
          <w:rFonts w:ascii="Times New Roman" w:eastAsia="Times New Roman" w:hAnsi="Times New Roman" w:cs="Times New Roman"/>
        </w:rPr>
        <w:t xml:space="preserve"> analiz </w:t>
      </w:r>
      <w:r>
        <w:rPr>
          <w:rFonts w:ascii="Times New Roman" w:eastAsia="Times New Roman" w:hAnsi="Times New Roman" w:cs="Times New Roman"/>
          <w:color w:val="000000"/>
        </w:rPr>
        <w:t xml:space="preserve"> wyłania się obraz pokolenia, które w wieku swoich rodziców może zmierzyć się z lawiną powikłań zdrowotnych.</w:t>
      </w:r>
    </w:p>
    <w:p w14:paraId="016E4773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Co czwarty młody człowiek między 20. a 34. rokiem życia żyje już z co najmniej dwoma przewlekłymi chorobami. </w:t>
      </w:r>
      <w:r>
        <w:rPr>
          <w:rFonts w:ascii="Times New Roman" w:eastAsia="Times New Roman" w:hAnsi="Times New Roman" w:cs="Times New Roman"/>
          <w:color w:val="000000"/>
        </w:rPr>
        <w:t>W grupie wiekowej 50-64 lata – to już 86% populacji. Co dziesiąta osoba w tym przedziale wiekowym zmaga się jednocześnie z pięcioma różnymi chorobami.</w:t>
      </w:r>
    </w:p>
    <w:p w14:paraId="7EB7C56A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– Obserwujemy 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niepokojąco wysoką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częstość wielochorobowości we wszystkich grupach wiekowych. To nie jest już problem tylko seniorów – coraz częściej dotyka kobiet i mężczyzn w wieku średnim, a w sporadycznych przypadkach nawet osób młodych</w:t>
      </w:r>
      <w:r>
        <w:rPr>
          <w:rFonts w:ascii="Times New Roman" w:eastAsia="Times New Roman" w:hAnsi="Times New Roman" w:cs="Times New Roman"/>
          <w:color w:val="000000"/>
        </w:rPr>
        <w:t> – alarmuje prof. dr hab. n. med. Wojciech Drygas, kierownik naukowy projektu.</w:t>
      </w:r>
    </w:p>
    <w:p w14:paraId="6B1D6E04" w14:textId="77777777" w:rsidR="009019B4" w:rsidRDefault="00000000">
      <w:pPr>
        <w:pStyle w:val="Nagwek3"/>
        <w:jc w:val="both"/>
        <w:rPr>
          <w:b/>
          <w:bCs/>
        </w:rPr>
      </w:pPr>
      <w:r>
        <w:rPr>
          <w:b/>
          <w:bCs/>
        </w:rPr>
        <w:t>Prawie 2000 osób wie już więcej o swoim zdrowiu – kolejne czekają na swoją kolej</w:t>
      </w:r>
    </w:p>
    <w:p w14:paraId="6312743B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tej pory prawie 2000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uczestników projektu przeszło pełną ścieżkę diagnostyczną</w:t>
      </w:r>
      <w:r>
        <w:rPr>
          <w:rFonts w:ascii="Times New Roman" w:eastAsia="Times New Roman" w:hAnsi="Times New Roman" w:cs="Times New Roman"/>
          <w:color w:val="000000"/>
        </w:rPr>
        <w:t xml:space="preserve"> – od wywiadu po pobranie krwi i zaawansowane badania laboratoryjne. To najbardziej kompleksowe badanie populacyjne </w:t>
      </w:r>
      <w:r>
        <w:rPr>
          <w:rFonts w:ascii="Times New Roman" w:eastAsia="Times New Roman" w:hAnsi="Times New Roman" w:cs="Times New Roman"/>
        </w:rPr>
        <w:t xml:space="preserve">dotyczące wielochorobowości </w:t>
      </w:r>
      <w:r>
        <w:rPr>
          <w:rFonts w:ascii="Times New Roman" w:eastAsia="Times New Roman" w:hAnsi="Times New Roman" w:cs="Times New Roman"/>
          <w:color w:val="000000"/>
        </w:rPr>
        <w:t xml:space="preserve"> w Polsce od dekad, a jego skala wciąż rośnie.</w:t>
      </w:r>
    </w:p>
    <w:p w14:paraId="5601E11C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Mieszkańcy wylosowanych gmin odkrywają problemy zdrowotne, o których nie mieli pojęcia. Dla wielu jest to pierwsza w życiu okazja do wykonania tak szerokiego panelu badań – zupełnie za darmo.</w:t>
      </w:r>
    </w:p>
    <w:p w14:paraId="2125DBAC" w14:textId="77777777" w:rsidR="009019B4" w:rsidRDefault="00000000">
      <w:pPr>
        <w:pStyle w:val="Nagwek3"/>
        <w:jc w:val="both"/>
        <w:rPr>
          <w:b/>
          <w:bCs/>
        </w:rPr>
      </w:pPr>
      <w:r>
        <w:rPr>
          <w:b/>
          <w:bCs/>
        </w:rPr>
        <w:lastRenderedPageBreak/>
        <w:t>Ankieterzy w terenie: „Ludzie sami zgłaszają się do badania”</w:t>
      </w:r>
    </w:p>
    <w:p w14:paraId="4469098F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Zespół ankieterów z firmy Research Collective przemierza Polskę, odwiedzając starannie wylosowane gospodarstwa domowe. Relacje z terenu pokazują, że projekt budzi ogromne zainteresowanie.</w:t>
      </w:r>
    </w:p>
    <w:p w14:paraId="0CA09602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– Chętnych do udziału w badaniu jest dużo, ale przeprowadzam wywiady tylko z rodzinami mieszkającymi pod adresami z wylosowanej  próby. Muszę pilnować, aby wszystko było zrobione dokładnie. Nie robię żadnych wyjątków</w:t>
      </w:r>
      <w:r>
        <w:rPr>
          <w:rFonts w:ascii="Times New Roman" w:eastAsia="Times New Roman" w:hAnsi="Times New Roman" w:cs="Times New Roman"/>
          <w:color w:val="000000"/>
        </w:rPr>
        <w:t> – zapewnia ankieter.</w:t>
      </w:r>
    </w:p>
    <w:p w14:paraId="07A78327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 istotne – kampania informacyjna działa. Mieszkańcy często wiedzą o projekcie, zanim ankieter zapuka do ich drzwi.</w:t>
      </w:r>
    </w:p>
    <w:p w14:paraId="405F1A07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– Kilkukrotnie spotkałam się z sytuacją, w której respondenci wiedzieli o badaniu jeszcze zanim zapukałam do ich drzwi. Dzięki temu byli bardziej otwarci na rozmowę</w:t>
      </w:r>
      <w:r>
        <w:rPr>
          <w:rFonts w:ascii="Times New Roman" w:eastAsia="Times New Roman" w:hAnsi="Times New Roman" w:cs="Times New Roman"/>
          <w:color w:val="000000"/>
        </w:rPr>
        <w:t> – opowiada ankieterka.</w:t>
      </w:r>
    </w:p>
    <w:p w14:paraId="1B76547D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dobie powszechnych oszustw, uczestnicy weryfikują autentyczność badania dzwoniąc na infolinię.</w:t>
      </w:r>
    </w:p>
    <w:p w14:paraId="25940000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– Nie raz się zdarza, że ludzie, zanim cokolwiek odpowiedzą, dzwonią na infolinię, żeby sprawdzić, o co chodzi w badaniu i czy ja naprawdę jestem ankieterem</w:t>
      </w:r>
      <w:r>
        <w:rPr>
          <w:rFonts w:ascii="Times New Roman" w:eastAsia="Times New Roman" w:hAnsi="Times New Roman" w:cs="Times New Roman"/>
          <w:color w:val="000000"/>
        </w:rPr>
        <w:t> – dodaje ankieter.</w:t>
      </w:r>
    </w:p>
    <w:p w14:paraId="39D0C981" w14:textId="77777777" w:rsidR="009019B4" w:rsidRDefault="00000000">
      <w:pPr>
        <w:pStyle w:val="Nagwek3"/>
        <w:jc w:val="both"/>
        <w:rPr>
          <w:b/>
          <w:bCs/>
        </w:rPr>
      </w:pPr>
      <w:r>
        <w:rPr>
          <w:b/>
          <w:bCs/>
        </w:rPr>
        <w:t>Nowoczesne i kosztowne badania – dla uczestników Projektu VIP 2030 za darmo</w:t>
      </w:r>
    </w:p>
    <w:p w14:paraId="19CF3AF9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Panel diagnostyczny obejmuje badania, które w prywatnych placówkach mogłyby kosztować od kilkuset do ponad tysiąca złotych: hsCRP, kreatynina, insulina, hemoglobina glikowana, hormony tarczycy, witaminy D3 i B12. Do tego testy funkcjonalne wykrywające zespół słabości – mało do tej pory znany problem, który może być zwiastunem poważnych </w:t>
      </w:r>
      <w:r>
        <w:rPr>
          <w:rFonts w:ascii="Times New Roman" w:eastAsia="Times New Roman" w:hAnsi="Times New Roman" w:cs="Times New Roman"/>
        </w:rPr>
        <w:t>chorób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E162585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– Wszyscy wiemy jakie znaczenie dla naszego zdrowia ma zapobieganie chorobom, regularna kontrola własnego zdrowia, wykonywanie nowoczesnych badań diagnostycznych. W wielu przypadkach badania profilaktyczne pozwalają na wczesne rozpoznanie poważnej choroby i szybkie wdrożenie skutecznego leczenia</w:t>
      </w:r>
      <w:r>
        <w:rPr>
          <w:rFonts w:ascii="Times New Roman" w:eastAsia="Times New Roman" w:hAnsi="Times New Roman" w:cs="Times New Roman"/>
          <w:color w:val="000000"/>
        </w:rPr>
        <w:t> – podkreśla prof. dr hab. n. med. Arkadiusz Niklas z Uniwersytetu Medycznego w Poznaniu.</w:t>
      </w:r>
    </w:p>
    <w:p w14:paraId="72AA2898" w14:textId="77777777" w:rsidR="009019B4" w:rsidRDefault="00000000">
      <w:pPr>
        <w:pStyle w:val="Nagwek3"/>
        <w:jc w:val="both"/>
        <w:rPr>
          <w:b/>
          <w:bCs/>
        </w:rPr>
      </w:pPr>
      <w:r>
        <w:rPr>
          <w:b/>
          <w:bCs/>
        </w:rPr>
        <w:t>Zespół słabości – cicha epidemia, która dotyka nie tylko seniorów</w:t>
      </w:r>
    </w:p>
    <w:p w14:paraId="04E441CA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Projekt zwraca uwagę na niedocenianą diagnozę: zespół słabości. Objawy to niezamierzona utrata wagi, osłabienie siły mięśni, łatwe męczenie się, wolniejszy chód i niska aktywność fizyczna.</w:t>
      </w:r>
    </w:p>
    <w:p w14:paraId="43BC8B85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– Zespół słabości jest łatwy do zdiagnozowania przy pomocy prostych testów sprawności, np. siły uścisku dłoni, testu powstania z krzesła, oceny szybkości chodu. W Projekcie VIP 2030 zamierzamy zwrócić uwagę na ten rzadko rozpoznawany zespół zaburzeń funkcjonalnych. W przypadku jego rozpoznania, możemy wskazać odpowiednie środki zaradcze</w:t>
      </w:r>
      <w:r>
        <w:rPr>
          <w:rFonts w:ascii="Times New Roman" w:eastAsia="Times New Roman" w:hAnsi="Times New Roman" w:cs="Times New Roman"/>
          <w:color w:val="000000"/>
        </w:rPr>
        <w:t> – wyjaśnia prof. dr hab. n. med. Magdalena Kwaśniewska z Uniwersytetu Medycznego w Łodzi.</w:t>
      </w:r>
    </w:p>
    <w:p w14:paraId="33413C71" w14:textId="77777777" w:rsidR="009019B4" w:rsidRDefault="00000000">
      <w:pPr>
        <w:pStyle w:val="Nagwek3"/>
        <w:jc w:val="both"/>
        <w:rPr>
          <w:b/>
          <w:bCs/>
        </w:rPr>
      </w:pPr>
      <w:r>
        <w:rPr>
          <w:b/>
          <w:bCs/>
        </w:rPr>
        <w:t>Trzy dekady doświadczenia, publikacje w światowych czasopismach</w:t>
      </w:r>
    </w:p>
    <w:p w14:paraId="68B88DB2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Projekt, finansowany przez Agencję Badań Medycznych realizuje </w:t>
      </w:r>
      <w:r>
        <w:rPr>
          <w:rFonts w:ascii="Times New Roman" w:eastAsia="Times New Roman" w:hAnsi="Times New Roman" w:cs="Times New Roman"/>
          <w:color w:val="000000"/>
        </w:rPr>
        <w:t>konsorcjum Uniwersytetu Medycznego w Łodzi, Uniwersytetu Medycznego w Poznaniu oraz Uniwersytetu Kaliskiego. Zespół profesora Drygasa od ponad 30 lat prowadzi badania epidemiologiczne</w:t>
      </w:r>
      <w:r>
        <w:rPr>
          <w:rFonts w:ascii="Times New Roman" w:eastAsia="Times New Roman" w:hAnsi="Times New Roman" w:cs="Times New Roman"/>
        </w:rPr>
        <w:t xml:space="preserve"> i realizuje programy profilaktyki i leczenia chorób przewlekłych we współpracy z WHO i najlepszymi zagranicznymi placówkami badawczymi,</w:t>
      </w:r>
      <w:r>
        <w:rPr>
          <w:rFonts w:ascii="Times New Roman" w:eastAsia="Times New Roman" w:hAnsi="Times New Roman" w:cs="Times New Roman"/>
          <w:color w:val="000000"/>
        </w:rPr>
        <w:t xml:space="preserve"> publikując wyniki w prestiżowych czasopismach: New England Journal of Medicine, Lancet, Nature</w:t>
      </w:r>
      <w:r>
        <w:rPr>
          <w:rFonts w:ascii="Times New Roman" w:eastAsia="Times New Roman" w:hAnsi="Times New Roman" w:cs="Times New Roman"/>
        </w:rPr>
        <w:t xml:space="preserve">  czy British Medical Journal. </w:t>
      </w:r>
    </w:p>
    <w:p w14:paraId="0B20CCEB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– Korzyści z udziału w naszym Projekcie są obustronne – nasi podopieczni zyskują dodatkową znakomitą i bezpłatną wiedzę o swoim stanie zdrowia, my zaś dysponujemy możliwością oceny skali wielochorobowości w reprezentatywnych wysokiej jakości badaniach</w:t>
      </w:r>
      <w:r>
        <w:rPr>
          <w:rFonts w:ascii="Times New Roman" w:eastAsia="Times New Roman" w:hAnsi="Times New Roman" w:cs="Times New Roman"/>
          <w:color w:val="000000"/>
        </w:rPr>
        <w:t> – zachęca prof. dr hab. n. med. Andrzej Wojtyła, rektor Uniwersytetu Kaliskiego.</w:t>
      </w:r>
    </w:p>
    <w:p w14:paraId="04621264" w14:textId="77777777" w:rsidR="009019B4" w:rsidRDefault="00000000">
      <w:pPr>
        <w:pStyle w:val="Nagwek3"/>
        <w:jc w:val="both"/>
        <w:rPr>
          <w:b/>
          <w:bCs/>
        </w:rPr>
      </w:pPr>
      <w:r>
        <w:rPr>
          <w:b/>
          <w:bCs/>
        </w:rPr>
        <w:t>Co to badanie daje Twojej gminie?</w:t>
      </w:r>
    </w:p>
    <w:p w14:paraId="41683097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Projekt trwa do 2030 roku i stworzy pierwszą w Polsce kompleksową bazę danych o wielochorobowości. </w:t>
      </w:r>
      <w:r>
        <w:rPr>
          <w:rFonts w:ascii="Times New Roman" w:eastAsia="Times New Roman" w:hAnsi="Times New Roman" w:cs="Times New Roman"/>
        </w:rPr>
        <w:t xml:space="preserve">Realizatorzy badań liczą, że jego wyniki pozwolą  na lepsze i  bardziej skuteczne działania profilaktyczne i lecznicze wobec chorób przewlekłych, nie tylko w naszym kraju. </w:t>
      </w:r>
      <w:r>
        <w:rPr>
          <w:rFonts w:ascii="Times New Roman" w:eastAsia="Times New Roman" w:hAnsi="Times New Roman" w:cs="Times New Roman"/>
          <w:color w:val="000000"/>
        </w:rPr>
        <w:t>Dla uczestników Projektu VIP 2030  to nie tylko wiedza o własnym zdrowiu – to szansa na wczesne wykrycie problemów, które można jeszcze powstrzymać.</w:t>
      </w:r>
    </w:p>
    <w:p w14:paraId="551CD56A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Z ponad 2500 zrealizowanych wywiadów i ponad 2000 kompletnych </w:t>
      </w:r>
      <w:r>
        <w:rPr>
          <w:rFonts w:ascii="Times New Roman" w:eastAsia="Times New Roman" w:hAnsi="Times New Roman" w:cs="Times New Roman"/>
          <w:b/>
          <w:bCs/>
        </w:rPr>
        <w:t>badań diagnostycznych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rojekt VIP 2030 nabiera tempa. Jeśli ankieter jeszcze nie zapukał do Twoich drzwi – może zrobi to już wkrótce.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To może być najważniejsza wizyta tego roku – bądź na nią otwarty!</w:t>
      </w:r>
    </w:p>
    <w:p w14:paraId="4E342510" w14:textId="77777777" w:rsidR="009019B4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Więcej informacji:</w:t>
      </w:r>
      <w:r>
        <w:rPr>
          <w:rFonts w:ascii="Times New Roman" w:eastAsia="Times New Roman" w:hAnsi="Times New Roman" w:cs="Times New Roman"/>
          <w:color w:val="000000"/>
        </w:rPr>
        <w:t> https://vip2030.ump.edu.pl/</w:t>
      </w:r>
    </w:p>
    <w:p w14:paraId="417EC3AF" w14:textId="77777777" w:rsidR="009019B4" w:rsidRDefault="009019B4">
      <w:pPr>
        <w:jc w:val="both"/>
        <w:rPr>
          <w:sz w:val="22"/>
          <w:szCs w:val="22"/>
        </w:rPr>
      </w:pPr>
    </w:p>
    <w:sectPr w:rsidR="009019B4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C1518" w14:textId="77777777" w:rsidR="002560D6" w:rsidRDefault="002560D6">
      <w:pPr>
        <w:spacing w:after="0" w:line="240" w:lineRule="auto"/>
      </w:pPr>
      <w:r>
        <w:separator/>
      </w:r>
    </w:p>
  </w:endnote>
  <w:endnote w:type="continuationSeparator" w:id="0">
    <w:p w14:paraId="4FF59CD9" w14:textId="77777777" w:rsidR="002560D6" w:rsidRDefault="00256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B2799E-A7F1-423D-8EF9-7962D5029D2A}"/>
    <w:embedBold r:id="rId2" w:fontKey="{722A009C-D922-44D2-A799-AEED47D7463E}"/>
    <w:embedItalic r:id="rId3" w:fontKey="{ED3BA712-ADEC-48FA-AC3E-DE1180EE40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96F2958-9BD0-42D3-9E3E-D28A61BAFC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338E3" w14:textId="77777777" w:rsidR="002560D6" w:rsidRDefault="002560D6">
      <w:pPr>
        <w:spacing w:after="0" w:line="240" w:lineRule="auto"/>
      </w:pPr>
      <w:r>
        <w:separator/>
      </w:r>
    </w:p>
  </w:footnote>
  <w:footnote w:type="continuationSeparator" w:id="0">
    <w:p w14:paraId="47B5253D" w14:textId="77777777" w:rsidR="002560D6" w:rsidRDefault="00256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F67AE" w14:textId="77777777" w:rsidR="009019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C295DC6" wp14:editId="19FF421C">
          <wp:extent cx="5568950" cy="603250"/>
          <wp:effectExtent l="0" t="0" r="0" b="0"/>
          <wp:docPr id="15865282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89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691F7A" w14:textId="77777777" w:rsidR="009019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Projekt "Biomedyczne i socjoekonomiczne uwarunkowania oraz konsekwencje zdrowotne i społeczno-ekonomiczne wielochorobowości w Polsce. Diagnoza epidemiologiczna, analiza wieloletnich trendów, propozycja programów interwencyjnych." Numer projektu 2023/ABM/03/00015.                      </w:t>
    </w:r>
  </w:p>
  <w:p w14:paraId="0AE97E0A" w14:textId="77777777" w:rsidR="009019B4" w:rsidRDefault="009019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9B4"/>
    <w:rsid w:val="002560D6"/>
    <w:rsid w:val="009019B4"/>
    <w:rsid w:val="00E43468"/>
    <w:rsid w:val="00E8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626754"/>
  <w15:docId w15:val="{20B40E97-FB93-4304-B180-158581E7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7A0E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7A0E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7A0E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7A0E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7A0E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rsid w:val="007A0E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7A0E4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7A0E4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7A0E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A0E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0E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0E4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7A0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7A0E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7A0E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A0E45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7A0E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A0E45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7A0E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A0E4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A0E45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665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54CE"/>
  </w:style>
  <w:style w:type="paragraph" w:styleId="Stopka">
    <w:name w:val="footer"/>
    <w:link w:val="StopkaZnak"/>
    <w:uiPriority w:val="99"/>
    <w:unhideWhenUsed/>
    <w:rsid w:val="00665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54CE"/>
  </w:style>
  <w:style w:type="character" w:styleId="Pogrubienie">
    <w:name w:val="Strong"/>
    <w:basedOn w:val="Domylnaczcionkaakapitu"/>
    <w:uiPriority w:val="22"/>
    <w:qFormat/>
    <w:rsid w:val="00850832"/>
    <w:rPr>
      <w:b/>
      <w:bCs/>
    </w:rPr>
  </w:style>
  <w:style w:type="paragraph" w:styleId="NormalnyWeb">
    <w:name w:val="Normal (Web)"/>
    <w:uiPriority w:val="99"/>
    <w:semiHidden/>
    <w:unhideWhenUsed/>
    <w:rsid w:val="00850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omylnaczcionkaakapitu"/>
    <w:rsid w:val="00850832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ist6Toue5bW1JliinWkfBFJXA==">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851</Words>
  <Characters>5110</Characters>
  <Application>Microsoft Office Word</Application>
  <DocSecurity>0</DocSecurity>
  <Lines>42</Lines>
  <Paragraphs>11</Paragraphs>
  <ScaleCrop>false</ScaleCrop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Walkowiak</dc:creator>
  <cp:lastModifiedBy>Ewa Misiaczyk</cp:lastModifiedBy>
  <cp:revision>2</cp:revision>
  <dcterms:created xsi:type="dcterms:W3CDTF">2026-01-29T10:29:00Z</dcterms:created>
  <dcterms:modified xsi:type="dcterms:W3CDTF">2026-01-29T10:29:00Z</dcterms:modified>
</cp:coreProperties>
</file>